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80" w:before="120"/>
        <w:jc w:val="center"/>
      </w:pPr>
      <w:r>
        <w:drawing>
          <wp:anchor distT="0" distB="0" distL="0" distR="0" simplePos="0" allowOverlap="1" behindDoc="1" locked="0" layoutInCell="1" relativeHeight="4629150">
            <wp:simplePos x="0" y="0"/>
            <wp:positionH relativeFrom="page">
              <wp:align>center</wp:align>
            </wp:positionH>
            <wp:positionV relativeFrom="page">
              <wp:posOffset>3150000</wp:posOffset>
            </wp:positionV>
            <wp:extent cx="7562850" cy="4629150"/>
            <wp:effectExtent t="0" r="0" b="0" l="0"/>
            <wp:wrapNone/>
            <wp:docPr id="1" name="wave" descr="grafico" title="Onda decor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388D79"/>
          <w:sz w:val="50"/>
          <w:szCs w:val="50"/>
        </w:rPr>
        <w:t xml:space="preserve">Ficha do Projeto</w:t>
      </w:r>
    </w:p>
    <w:p>
      <w:pPr>
        <w:spacing w:after="150" w:line="264" w:lineRule="auto"/>
      </w:pPr>
      <w:r>
        <w:rPr>
          <w:color w:val="8C8C8C"/>
          <w:sz w:val="22"/>
          <w:szCs w:val="22"/>
        </w:rPr>
        <w:t xml:space="preserve">Aviso | </w:t>
      </w:r>
      <w:r>
        <w:rPr>
          <w:b/>
          <w:bCs/>
          <w:color w:val="262626"/>
          <w:sz w:val="22"/>
          <w:szCs w:val="22"/>
        </w:rPr>
        <w:t xml:space="preserve">22/C16-i02.02/2025</w:t>
      </w:r>
    </w:p>
    <w:p>
      <w:pPr>
        <w:spacing w:after="150" w:line="264" w:lineRule="auto"/>
      </w:pPr>
      <w:r>
        <w:rPr>
          <w:color w:val="8C8C8C"/>
          <w:sz w:val="22"/>
          <w:szCs w:val="22"/>
        </w:rPr>
        <w:t xml:space="preserve">Entidade Beneficiária | </w:t>
      </w:r>
      <w:r>
        <w:rPr>
          <w:b/>
          <w:bCs/>
          <w:color w:val="262626"/>
          <w:sz w:val="22"/>
          <w:szCs w:val="22"/>
        </w:rPr>
        <w:t xml:space="preserve">Agência Funerária Palhares, Lda.</w:t>
      </w:r>
    </w:p>
    <w:p>
      <w:pPr>
        <w:spacing w:after="150" w:line="264" w:lineRule="auto"/>
      </w:pPr>
      <w:r>
        <w:rPr>
          <w:color w:val="8C8C8C"/>
          <w:sz w:val="22"/>
          <w:szCs w:val="22"/>
        </w:rPr>
        <w:t xml:space="preserve">Projeto n.º | </w:t>
      </w:r>
      <w:r>
        <w:rPr>
          <w:b/>
          <w:bCs/>
          <w:color w:val="262626"/>
          <w:sz w:val="22"/>
          <w:szCs w:val="22"/>
        </w:rPr>
        <w:t xml:space="preserve">22085</w:t>
      </w:r>
    </w:p>
    <w:p>
      <w:pPr>
        <w:spacing w:after="150" w:line="264" w:lineRule="auto"/>
      </w:pPr>
      <w:r>
        <w:rPr>
          <w:color w:val="8C8C8C"/>
          <w:sz w:val="22"/>
          <w:szCs w:val="22"/>
        </w:rPr>
        <w:t xml:space="preserve">Investimento elegível | </w:t>
      </w:r>
      <w:r>
        <w:rPr>
          <w:b/>
          <w:bCs/>
          <w:color w:val="262626"/>
          <w:sz w:val="22"/>
          <w:szCs w:val="22"/>
        </w:rPr>
        <w:t xml:space="preserve">10.000,00 €</w:t>
      </w:r>
    </w:p>
    <w:p>
      <w:pPr>
        <w:spacing w:after="150" w:line="264" w:lineRule="auto"/>
      </w:pPr>
      <w:r>
        <w:rPr>
          <w:color w:val="8C8C8C"/>
          <w:sz w:val="22"/>
          <w:szCs w:val="22"/>
        </w:rPr>
        <w:t xml:space="preserve">Financiamento do PRR | </w:t>
      </w:r>
      <w:r>
        <w:rPr>
          <w:b/>
          <w:bCs/>
          <w:color w:val="262626"/>
          <w:sz w:val="22"/>
          <w:szCs w:val="22"/>
        </w:rPr>
        <w:t xml:space="preserve">10.000,00 €</w:t>
      </w:r>
    </w:p>
    <w:p>
      <w:pPr>
        <w:spacing w:after="0" w:before="240" w:line="264" w:lineRule="auto"/>
        <w:jc w:val="both"/>
      </w:pPr>
      <w:r>
        <w:rPr>
          <w:color w:val="8C8C8C"/>
          <w:sz w:val="22"/>
          <w:szCs w:val="22"/>
        </w:rPr>
        <w:t xml:space="preserve">Descrição do Projeto | </w:t>
      </w:r>
      <w:r>
        <w:rPr>
          <w:color w:val="373737"/>
          <w:sz w:val="22"/>
          <w:szCs w:val="22"/>
        </w:rPr>
        <w:t xml:space="preserve">O projeto é financiado pelo Mecanismo de Recuperação e Resiliência da Comissão Europeia, no âmbito do Coaching 4.0 - Apoio a Modelos de Negócio para a Transição Digital das PME (investimento 04 - Transição Digital das Empresas, componente 16 - Empresas 4.0), que visa fomentar a integração de tecnologias, apoiando o desenvolvimento de processos e competências organizacionais que fomentem a transformação digital do seu modelo de negócio.</w:t>
      </w:r>
    </w:p>
    <w:p>
      <w:pPr>
        <w:spacing w:after="70" w:before="220"/>
      </w:pPr>
      <w:r>
        <w:rPr>
          <w:color w:val="8C8C8C"/>
          <w:sz w:val="22"/>
          <w:szCs w:val="22"/>
        </w:rPr>
        <w:t xml:space="preserve">Objetivos:</w:t>
      </w:r>
    </w:p>
    <w:p>
      <w:pPr>
        <w:pStyle w:val="ListParagraph"/>
        <w:numPr>
          <w:ilvl w:val="0"/>
          <w:numId w:val="2"/>
        </w:numPr>
        <w:spacing w:after="80" w:line="264" w:lineRule="auto"/>
        <w:jc w:val="both"/>
      </w:pPr>
      <w:r>
        <w:rPr>
          <w:color w:val="373737"/>
          <w:sz w:val="22"/>
          <w:szCs w:val="22"/>
        </w:rPr>
        <w:t xml:space="preserve">Otimização dos processos internos e captação estruturada de dados, através da reestruturação da plataforma web e da implementação de uma camada de tracking que assegure a rastreabilidade do percurso do utilizador;</w:t>
      </w:r>
    </w:p>
    <w:p>
      <w:pPr>
        <w:pStyle w:val="ListParagraph"/>
        <w:numPr>
          <w:ilvl w:val="0"/>
          <w:numId w:val="2"/>
        </w:numPr>
        <w:spacing w:after="80" w:line="264" w:lineRule="auto"/>
        <w:jc w:val="both"/>
      </w:pPr>
      <w:r>
        <w:rPr>
          <w:color w:val="373737"/>
          <w:sz w:val="22"/>
          <w:szCs w:val="22"/>
        </w:rPr>
        <w:t xml:space="preserve">Automatização dos processos de marketing e da captação digital, através da configuração de campanhas segmentadas integradas num sistema de business intelligence.</w:t>
      </w:r>
    </w:p>
    <w:p>
      <w:pPr>
        <w:spacing w:after="70" w:before="220"/>
      </w:pPr>
      <w:r>
        <w:rPr>
          <w:color w:val="8C8C8C"/>
          <w:sz w:val="22"/>
          <w:szCs w:val="22"/>
        </w:rPr>
        <w:t xml:space="preserve">Resultados esperados:</w:t>
      </w:r>
    </w:p>
    <w:p>
      <w:pPr>
        <w:pStyle w:val="ListParagraph"/>
        <w:numPr>
          <w:ilvl w:val="0"/>
          <w:numId w:val="2"/>
        </w:numPr>
        <w:spacing w:after="80" w:line="264" w:lineRule="auto"/>
        <w:jc w:val="both"/>
      </w:pPr>
      <w:r>
        <w:rPr>
          <w:color w:val="373737"/>
          <w:sz w:val="22"/>
          <w:szCs w:val="22"/>
        </w:rPr>
        <w:t xml:space="preserve">Otimização do desempenho operacional da plataforma web e maior capacidade de recolha sistemática de dados;</w:t>
      </w:r>
    </w:p>
    <w:p>
      <w:pPr>
        <w:pStyle w:val="ListParagraph"/>
        <w:numPr>
          <w:ilvl w:val="0"/>
          <w:numId w:val="2"/>
        </w:numPr>
        <w:spacing w:after="80" w:line="264" w:lineRule="auto"/>
        <w:jc w:val="both"/>
      </w:pPr>
      <w:r>
        <w:rPr>
          <w:color w:val="373737"/>
          <w:sz w:val="22"/>
          <w:szCs w:val="22"/>
        </w:rPr>
        <w:t xml:space="preserve">Automatização dos processos de marketing e de captação de clientes;</w:t>
      </w:r>
    </w:p>
    <w:p>
      <w:pPr>
        <w:pStyle w:val="ListParagraph"/>
        <w:numPr>
          <w:ilvl w:val="0"/>
          <w:numId w:val="2"/>
        </w:numPr>
        <w:spacing w:after="80" w:line="264" w:lineRule="auto"/>
        <w:jc w:val="both"/>
      </w:pPr>
      <w:r>
        <w:rPr>
          <w:color w:val="373737"/>
          <w:sz w:val="22"/>
          <w:szCs w:val="22"/>
        </w:rPr>
        <w:t xml:space="preserve">Acesso a informação estruturada e a indicadores de desempenho (KPIs) para suporte à tomada de decisão.</w:t>
      </w:r>
    </w:p>
    <w:sectPr>
      <w:footerReference w:type="default" r:id="rId7"/>
      <w:pgSz w:w="11906" w:h="16838" w:orient="portrait"/>
      <w:pgMar w:top="1080" w:right="1400" w:bottom="1080" w:left="1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106"/>
      </w:tabs>
    </w:pPr>
    <w:r>
      <w:drawing>
        <wp:inline distT="0" distB="0" distL="0" distR="0">
          <wp:extent cx="1257300" cy="333375"/>
          <wp:effectExtent t="0" r="0" b="0" l="0"/>
          <wp:docPr id="1" name="rec" descr="logo" title="Recuperar Portug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	</w:t>
    </w:r>
    <w:r>
      <w:drawing>
        <wp:inline distT="0" distB="0" distL="0" distR="0">
          <wp:extent cx="3257550" cy="466725"/>
          <wp:effectExtent t="0" r="0" b="0" l="0"/>
          <wp:docPr id="1" name="strip" descr="logos" title="PRR Republica Uniao Europe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078883d27c92664e3ff65991ae2ef58d9ec817d4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78e16d44060a233db1171727e24e1b26641948e.png"/><Relationship Id="rId1" Type="http://schemas.openxmlformats.org/officeDocument/2006/relationships/image" Target="media/f0848a0726ad847570ea2ef9d7b56dc7fc7b694d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2026-06-24T16:19:54.254Z</dcterms:created>
  <dcterms:modified xsi:type="dcterms:W3CDTF">2026-06-24T16:19:54.254Z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